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58 vom 13. November 2025</w:t>
      </w:r>
    </w:p>
    <w:p>
      <w:r>
        <w:t>VS Kantonsgericht, 2025-11-13, FR</w:t>
      </w:r>
    </w:p>
    <w:p>
      <w:r>
        <w:rPr>
          <w:b/>
        </w:rPr>
        <w:t xml:space="preserve">Quelle: </w:t>
      </w:r>
      <w:r>
        <w:t>https://mcp.opencaselaw.ch/entscheid/vs_gerichte_S1 24 58</w:t>
      </w:r>
    </w:p>
    <w:p>
      <w:r>
        <w:t>FR: VS_GERICHTE S1 24 58 du 13 novembre 2025</w:t>
      </w:r>
    </w:p>
    <w:p>
      <w:r>
        <w:t>IT: VS_GERICHTE S1 24 58 del 13 novembre 2025</w:t>
      </w:r>
    </w:p>
    <w:p>
      <w:pPr>
        <w:pStyle w:val="Heading2"/>
      </w:pPr>
      <w:r>
        <w:t>Erwägungen</w:t>
      </w:r>
    </w:p>
    <w:p>
      <w:r>
        <w:rPr>
          <w:b/>
        </w:rPr>
        <w:t>E. 1</w:t>
      </w:r>
    </w:p>
    <w:p>
      <w:r>
        <w:t>OACI ; art. 81a al. 1 LPJA). Il répond par ailleurs aux autres conditions formelles de recevabilité (art. 61 let. b LPGA), de sorte que la Cour doit entrer en matière.</w:t>
      </w:r>
    </w:p>
    <w:p>
      <w:r>
        <w:rPr>
          <w:b/>
        </w:rPr>
        <w:t>E. 2</w:t>
      </w:r>
    </w:p>
    <w:p>
      <w:r>
        <w:t>Le présent litige porte sur l’obligation de la recourante de restituer des prestations indûment touchées à hauteur de 31'561 fr. 90. L’intéressée s’y oppose en soutenant que</w:t>
      </w:r>
    </w:p>
    <w:p>
      <w:r>
        <w:t>- 6 - le revenu provenant de son activité de femme de ménage pour le compte de la E _________ est un gain accessoire non assuré à ne pas prendre en considération dans le calcul du gain assuré.</w:t>
      </w:r>
    </w:p>
    <w:p>
      <w:r>
        <w:rPr>
          <w:b/>
        </w:rPr>
        <w:t>E. 3</w:t>
      </w:r>
    </w:p>
    <w:p>
      <w:r>
        <w:t>Dans la mesure où la recourante, qui a revendiqué des prestations de l’assurance- chômage dès le 3 mai 2019, est arrivée en Suisse le 1er janvier de la même année, il convient dans un premier temps de déterminer la législation applicable.</w:t>
      </w:r>
    </w:p>
    <w:p>
      <w:r>
        <w:rPr>
          <w:b/>
        </w:rPr>
        <w:t>E. 3.1</w:t>
      </w:r>
    </w:p>
    <w:p>
      <w:r>
        <w:t>Selon l’article 121 alinéa 1 LACI, pour les personnes qui sont ou qui ont été soumises à la législation sur la sécurité sociale de la Suisse ou d’un ou de plusieurs États de l’Union européenne et qui sont des ressortissants suisses ou des ressortissants de l’un des États de l’Union européenne, pour les réfugiés ou les apatrides qui résident en Suisse ou dans un État de l’Union européenne, ainsi que pour les membres de la famille et les survivants de ces personnes, les actes ci-après, dans leur version qui lie la Suisse en vertu de l’annexe II, section A, de l’accord sur la libre circulation des personnes sont applicables aux prestations comprises dans le champ d’application de la présente loi : a. le Règlement (CE) no 883/2004 ; b. le Règlement (CE) no 987/20094 ; c. le Règlement (CEE) no 1408/714 ; d. le Règlement (CEE) no 574/724. Selon l’article 11 paragraphe 3 lettre a du Règlement (CE) no 883/2004 du Parlement européen et du Conseil du 29 avril 2004 portant sur la coordination des systèmes de sécurité sociale (RS 0.831.109.268.1), la personne qui exerce une activité salariée ou non salariée dans un Etat membre est soumise à la législation de cet Etat membre. En l’espèce, l’emploi de vendeuse auprès de la A _________, dont la perte a ouvert le droit de la recourante à des prestations de l’assurance-chômage, a été exercé en Suisse. C’est ainsi le droit suisse qui est applicable.</w:t>
      </w:r>
    </w:p>
    <w:p>
      <w:r>
        <w:rPr>
          <w:b/>
        </w:rPr>
        <w:t>E. 3.2</w:t>
      </w:r>
    </w:p>
    <w:p>
      <w:r>
        <w:t>L’article 62 paragraphe 1 du Règlement (CE) no 883/2004 dispose que l’institution compétente d’un Etat membre dont la législation prévoit que le calcul des prestations repose sur le montant du salaire ou du revenu professionnel antérieur tient compte exclusivement du salaire ou du revenu professionnel perçu par l’intéressé pour la dernière activité salariée ou non salariée qu’il a exercé sous cette législation.</w:t>
      </w:r>
    </w:p>
    <w:p>
      <w:r>
        <w:t>- 7 - Les gains réalisés à l’étranger ne sont pas pris en compte, même si une prise en considération conduirait à la fixation d’un gain assuré plus élevé (RUBIN, Assurance- chômage, Manuel à l’usage des praticiens, 2025, p. 353). En l’occurrence, le gain assuré se détermine en fonction du salaire réalisé dans l’Etat compétent, soit en Suisse.</w:t>
      </w:r>
    </w:p>
    <w:p>
      <w:r>
        <w:rPr>
          <w:b/>
        </w:rPr>
        <w:t>E. 3.3</w:t>
      </w:r>
    </w:p>
    <w:p>
      <w:r>
        <w:t>En conséquence, le gain assuré est déterminé selon le droit suisse et en fonction du salaire réalisé en Suisse.</w:t>
      </w:r>
    </w:p>
    <w:p>
      <w:r>
        <w:rPr>
          <w:b/>
        </w:rPr>
        <w:t>E. 4</w:t>
      </w:r>
    </w:p>
    <w:p>
      <w:r>
        <w:t>Il convient ensuite de qualifier les gains obtenus par la recourante et que l’intimée lui reproche de ne pas avoir annoncés pour déterminer s’il s’agit de gains accessoires ou de gains intermédiaires. Les gains concernés sont ceux provenant de son activité de femme de ménage pour le compte de la E _________.</w:t>
      </w:r>
    </w:p>
    <w:p>
      <w:r>
        <w:rPr>
          <w:b/>
        </w:rPr>
        <w:t>E. 4.1</w:t>
      </w:r>
    </w:p>
    <w:p>
      <w:r>
        <w:t>L'assuré a droit à l'indemnité de chômage notamment s'il est sans emploi ou partiellement sans emploi (art. 8 al. 1 let. a et art. 10 LACI). Selon l'article 23 alinéa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liées à l'exécution du travail. Le salaire pris en considération comme gain assuré se rapproche de la notion de salaire déterminant au sens de l'article 5 alinéa 2 LAVS, mais ne se recouvre pas exactement avec celui-ci, comme cela ressort du terme « normalement » (« normalerweise » ; « normalmente ») utilisé à l'article 23 alinéa 1 LACI (RUBIN, Commentaire de la loi sur l'assurance- chômage, 2014, n° 8 ad art. 23). Certains montants perçus par le salarié, certes soumis à cotisation, n'entrent pas dans la fixation du gain assuré. Il en va ainsi notamment de la rémunération des heures supplémentaires (ATF 129 V 105), de l'indemnité de vacances (à certaines conditions : ATF 130 V 492 consid. 4.2.4), des gains accessoires (art. 23 al. 3 LACI ; ATF 129 V 105 consid. 3.2 ; 126 V 207) ou des indemnités pour inconvénients liés au travail ou en raison de frais occasionnés par le travail (arrêt du Tribunal fédéral 8C_380/2023 du 18 juin 2024 consid. 3.1 ; art. 23 al. 1 1ère phrase LACI ; DTA 1992 n. 14 p. 140 [C 13/92] consid. 2b).</w:t>
      </w:r>
    </w:p>
    <w:p>
      <w:r>
        <w:rPr>
          <w:b/>
        </w:rPr>
        <w:t>E. 4.2</w:t>
      </w:r>
    </w:p>
    <w:p>
      <w:r>
        <w:t>Selon l'article 24 alinéa 1 première et deuxième phrases LACI, est réputé intermédiaire tout gain que le chômeur retire d'une activité salariée ou indépendante durant une période de contrôle ; l'assuré qui perçoit un gain intermédiaire a droit à la compensation de la perte de gain. Est réputée perte de gain la différence entre le gain</w:t>
      </w:r>
    </w:p>
    <w:p>
      <w:r>
        <w:t>- 8 - assuré et le gain intermédiaire, ce dernier devant être conforme, pour le travail effectué, aux usages professionnels et locaux ; les gains accessoires ne sont pas pris en considération (art. 23 al. 3) (art. 24 al. 3 LACI).</w:t>
      </w:r>
    </w:p>
    <w:p>
      <w:r>
        <w:rPr>
          <w:b/>
        </w:rPr>
        <w:t>E. 4.3</w:t>
      </w:r>
    </w:p>
    <w:p>
      <w:r>
        <w:t>Est réputé accessoire tout gain que l’assuré retire d’une activité dépendante exercée en dehors de la durée normale de son travail ou d’une activité qui sort du cadre ordinaire d’une activité lucrative indépendante (art. 23 al. 3 2ème phrase LACI). Un gain accessoire n’est pas pris en considération lors de la détermination du gain intermédiaire (art. 24 al. 3 LACI). Une augmentation sensible du gain accessoire durant le chômage peut cependant être prise en considération à titre de gain intermédiaire (ATF 123 V 230 ; arrêts du Tribunal fédéral 8C_380/2023 du 18 juin 2024 consid. 3.3 et 8C_600/2015 du 11 mai 2016 consid. 2.2). Lorsque deux rapports de travail courent parallèlement, le gain assuré comprend seulement le revenu tiré de l’activité normale à plein temps, même si les gains procurés par une activité accessoire sont proportionnellement plus élevés (ATF 129 V 105). La notion d’accessoire du gain doit être comprise par rapport à celui provenant d’une activité principale ; en effet, un gain accessoire ne peut exister, par définition, qu’en présence d’une autre activité pouvant être qualifiée de source de revenu principale (arrêt du Tribunal fédéral 8C_86/2017 du 19 mai 2017 consid. 3). En d’autres termes, un gain accessoire ne peut demeurer que dans un rapport de proportion faible avec le revenu de l’activité principale ; à défaut de quoi, si ce gain venait régulièrement à se rapprocher ou dépasser le gain principal, l’activité ne pourrait plus être accessoire et le gain ne le serait pas davantage (ATF 123 V 230 consid. 3c ; arrêt du Tribunal fédéral 8C_75/2015 du 14 janvier 2016 consid. 2.2). En cas de cumul d’emplois pour un taux global supérieur à 100 %, et de perte de l’emploi principal, le gain assuré se basera sur une activité à 100 % (arrêt du Tribunal fédéral 8C_496/2019 du 30 septembre 2019 consid. 3 ; RUBIN, Assurance-chômage et service public de l’emploi, 2019, p. 75, note 323), de sorte que le gain provenant de la partie de l’activité dépassant 100 % sera considéré comme un gain accessoire. Un gain accessoire réalisé durant le délai-cadre de cotisation, qui subsiste sans changement durant le délai-cadre d’indemnisation ouvert à la suite de la perte de l’activité principale, reste un gain accessoire pendant dit délai- cadre d’indemnisation. C’est ce qu’indique le bulletin LACI IC édité par le Secrétariat d’Etat à l’économie (SECO) à son chiffre C10 : « Un gain accessoire conserve ce statut dans les délais-cadres suivants. Il ne compte donc pas comme période de cotisation et ne sera pas pris en compte dans le calcul du gain assuré ».</w:t>
      </w:r>
    </w:p>
    <w:p>
      <w:r>
        <w:rPr>
          <w:b/>
        </w:rPr>
        <w:t>E. 4.4</w:t>
      </w:r>
    </w:p>
    <w:p>
      <w:r>
        <w:t>En l’espèce, avant la période de chômage, la recourante était employée comme vendeuse à temps plein auprès de la A _________. En outre, elle travaillait comme</w:t>
      </w:r>
    </w:p>
    <w:p>
      <w:r>
        <w:t>- 9 - femme de ménage pour la E _________ à raison d’environ deux heures et demie par semaine. Cette activité était exercée le samedi après-midi de 14h à 16h30 environ, soit en dehors de la durée normale de son travail (art. 23 al. 3 LACI). Conformément à la jurisprudence, le revenu tiré de l’activité de femme de ménage, exercée en plus de l’activité de vendeuse à temps plein, doit être considéré comme gain accessoire (arrêt du Tribunal fédéral 8C_654/2015 du 14 décembre 2015 consid. 5.2 et la référence citée). Par ailleurs, il faut que l’activité accessoire ne se développe pas de manière à ce qu’elle remplace tout ou partie du temps que l’assurée consacrait, avant sa période de chômage, à son activité principale. En l’espèce, on constate que le taux d’activité et la rémunération perçue pour l’activité de femme de ménage n’ont pas varié voire diminué entre 2019 et 2021 (cf. extraits de compte 2019-2020, p. 168 s). Contrairement à ce que prétend l’intimée, le fait que l’activité auprès de la E _________ ait commencé avant son emploi à plein temps auprès de la A _________ ne signifie pas que l’activité de femme de ménage ne puisse pas être considérée comme une activité accessoire. En effet, pour qu’un gain accessoire n’ait pas à être pris en considération à titre de gain intermédiaire, il doit s’agir d’un gain tiré d’une activité accessoire ayant déjà débuté durant le délai-cadre de cotisation, c’est-à-dire avant la survenance du chômage, qui perdure postérieurement à la perte de l’activité principale et qui n’augmente pas sensiblement durant le délai-cadre d’indemnisation (RUBIN, Commentaire de la loi sur l’assurance-chômage, 2014, n° 39 ad art. 24 LACI). Si un assuré n’exerce pas d’activité accessoire pendant son emploi principal et exerce ensuite, pendant la période de chômage et la perception d’indemnités journalières, une activité rémunérée, alors cette activité est considérée comme un gain intermédiaire et non comme une activité accessoire (arrêts du Tribunal fédéral 8C_504/2022 du 23 décembre 2022 consid. 5.6, 8C_86/2017 du 19 mai 2017). Au vu de ces éléments, il sied de retenir que l’activité de femme de ménage exercée par la recourante pour le compte de la E _________ depuis janvier 2019 était une activité accessoire au moment de la demande d’indemnités de chômage au 3 mai 2019 et qu’elle a conservé cette nature tout au long de la période litigieuse.</w:t>
      </w:r>
    </w:p>
    <w:p>
      <w:r>
        <w:rPr>
          <w:b/>
        </w:rPr>
        <w:t>E. 5</w:t>
      </w:r>
    </w:p>
    <w:p>
      <w:r>
        <w:t>La demande en restitution est dès lors infondée. Le recours doit être admis et la décision sur opposition du 14 février 2024 annulée.</w:t>
      </w:r>
    </w:p>
    <w:p>
      <w:r>
        <w:t>- 10 -</w:t>
      </w:r>
    </w:p>
    <w:p>
      <w:r>
        <w:rPr>
          <w:b/>
        </w:rPr>
        <w:t>E. 6.1</w:t>
      </w:r>
    </w:p>
    <w:p>
      <w:r>
        <w:t>Il n’est pas perçu de frais (art. 61 let. fbis LPGA), la loi spéciale, en l’occurrence la LACI, ne prévoyant pas le prélèvement de frais de justice.</w:t>
      </w:r>
    </w:p>
    <w:p>
      <w:r>
        <w:rPr>
          <w:b/>
        </w:rPr>
        <w:t>E. 6.2</w:t>
      </w:r>
    </w:p>
    <w:p>
      <w:r>
        <w:t>La recourante qui obtient gain de cause sur le fond et sur la question de l’effet suspensif (S3 24 21) a droit à des dépens à charge de l’intimée (art. 61 let. g LPGA et 91 al. 1 et 2 a contrario LPJA). Selon la jurisprudence fédérale relative aux dépens dans les matières relevant du droit public, également applicable dans le cadre de l’article 61 lettre g LPGA, une partie représentée tant par un avocat que par tout mandataire qualifié a droit à une indemnité pour ses dépens si elle obtient gain de cause (ATF 126 V 11 consid. 2 et 122 V 278, Pratique VSI 1997 p. 33, arrêts du Tribunal fédéral 8C_546/2018 du 9 octobre 2018 consid. 5.1, 9C_688/2009 du 19 novembre 2009 et 9C_600/2007 du 12 janvier 2009 et les références, arrêt du Tribunal fédéral des assurances I 74/07 du 11 décembre 2007). En vertu du droit cantonal réservé par l’article 61 LPGA, les dépens comprennent l’indemnité à la partie pouvant y prétendre, soit le remboursement de ses débours et, lorsque des circonstances particulières le justifient, un dédommagement pour la perte de temps ou de gain (art. 4 al. 1 et 2 LTar). Les dépens sont une indemnité de procédure mise à la charge d'un plaideur en faveur de l'autre pour le dédommager des dépenses ou du manque à gagner occasionné par le procès (TAPPY, Commentaire romand, Code de procédure civile, 2e éd. 2019, n° 21 ad art. 95 CPC). L’article 40 alinéa 1 LTar fixe les honoraires pour les procédures devant la Cour des assurances sociales dans une fourchette comprise entre 550 fr. et 11’000 fr., compte tenu de la nature et de l'importance de la cause, de ses difficultés, de l'ampleur du travail et du temps qu'y a utilement consacré l'avocat du recourant (art. 27 al. 1 LTar ; VSI 1999, 186 ; arrêt du Tribunal fédéral I 30/03 du 22 mai 2003). Lorsqu'il existe un tarif ou une règle légale fixant des minima et maxima, le juge ne doit motiver sa décision que s'il sort de ces limites, si des éléments extraordinaires sont invoqués par la partie concernée ou si le juge s'écarte d'une note de frais produite par l'intéressé et alloue une indemnité inférieure au montant habituel, en dépit d'une pratique bien définie (ATF 139 V 496 consid. 5.1 et 111 Ia 1 consid. 2a, cités dans l’arrêt du Tribunal fédéral 1C_170/2014 du</w:t>
      </w:r>
    </w:p>
    <w:p>
      <w:r>
        <w:rPr>
          <w:b/>
        </w:rPr>
        <w:t>E. 10</w:t>
      </w:r>
    </w:p>
    <w:p>
      <w:r>
        <w:t>décembre 2014 consid. 3.1). Le temps consacré à la défense des intérêts du client et les actes effectués ne peuvent être pris en considération sans distinction : ainsi, le juge peut, d'une part, revoir le temps de travail allégué par l'avocat, s'il l'estime exagéré en tenant compte des caractéristiques</w:t>
      </w:r>
    </w:p>
    <w:p>
      <w:r>
        <w:t>- 11 - concrètes de l'affaire, et ne pas rétribuer ce qui ne s'inscrit pas raisonnablement dans le cadre de l'accomplissement de sa tâche ; d'autre part, il peut également refuser d'indemniser le conseil pour des opérations qu'il estime inutiles ou superflues (ATF 122 I 1 consid. 3a et 117 la 22 consid. 4c et les réf. cit.). En l’espèce, la mandataire de la recourante réclame 5000 fr. à titre de dépens. Elle n’a fait parvenir au Tribunal aucun décompte d’honoraires comportant les opérations effectuées. Esther Trachsel-Baumann, lic. iur., a rédigé un mémoire de recours motivé de 17 pages, une réplique de 5 pages, ainsi qu’un bref courrier. Au vu de la nature et de l’importance du litige, il apparaît équitable d’allouer à la mandataire de la recourante une indemnité à titre de dépens pour l’activité utile déployée dans la présente cause de 2000 fr. (débours et TVA compris ; art. 4 al. 1, 27 al. 1 et 5, 29 al. 3 et 40 LTar).</w:t>
      </w:r>
    </w:p>
    <w:p>
      <w:r>
        <w:t>Prononce</w:t>
      </w:r>
    </w:p>
    <w:p>
      <w:r>
        <w:t>1. Le recours est admis et la décision sur opposition du 14 février 2024 est annulée. 2. Il n'est pas perçu de frais. 3. La Caisse de chômage OCS versera à X _________ une indemnité de 2000 fr. pour ses dépens. Sion, le 13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